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15.03.2022 N 168н</w:t>
              <w:br/>
              <w:t xml:space="preserve">(ред. от 28.02.2024)</w:t>
              <w:br/>
              <w:t xml:space="preserve">"Об утверждении порядка проведения диспансерного наблюдения за взрослыми"</w:t>
              <w:br/>
              <w:t xml:space="preserve">(Зарегистрировано в Минюсте России 21.04.2022 N 68288)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апреля 2022 г. N 68288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марта 2022 г. N 168н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ДИСПАНСЕРНОГО НАБЛЮДЕНИЯ ЗА ВЗРОСЛЫМИ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 ПРОВЕДЕНИЯ ДИСПАНСЕРНОГО НАБЛЮДЕНИЯ ЗА ВЗРОСЛЫМ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диспансерного наблюдения за взрослыми.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а России от 29.03.2019 N 173н &quot;Об утверждении порядка проведения диспансерного наблюдения за взрослыми&quot; (Зарегистрировано в Минюсте России 25.04.2019 N 545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2022 г. и действует до 1 сентября 2028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 ПРОВЕДЕНИЯ ДИСПАНСЕРНОГО НАБЛЮДЕНИЯ ЗА ВЗРОСЛЫМИ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5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 2022 г., регистрационный N 67206).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4. Диспансерное наблюдение устанавливается в течение 3-х рабочих дней после: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установления диагноза при оказании медицинской помощи в амбулаторных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охват диспансерным наблюдением лиц старше трудоспособного возраста, из числа подлежащих ему, не менее 90%;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диспансерного наблюдения медицинским работником, указанным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сроки, указанные в </w:t>
      </w:r>
      <w:hyperlink w:history="0" w:anchor="P46" w:tooltip="4. Диспансерное наблюдение устанавливается в течение 3-х рабочих дней после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достижение целевых значений показателей состояния здоровья в соответствии с клиническими рекомендациями;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сокращение числа обращений по поводу обострений хронических заболеваний среди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уменьшение числа случаев и количества дней временной нетрудоспособности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снижение показателей смертности, в том числе внебольничной смертности, лиц, находящихся под диспансерным наблюдением.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врачи-специалисты (по отдельным заболеваниям или состояниям (группам заболеваний или состояний);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врач по медицинской профилактике (фельдшер) отделения (кабинета) медицинской профилактики или центра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w:history="0" r:id="rId13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соответствии с программой государственных гарантий бесплатного оказания гражданам медицинской помощи на соответствующий год и плановый период &lt;3(1)&gt;.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&lt;3(1)&gt; </w:t>
      </w:r>
      <w:r>
        <w:rPr>
          <w:sz w:val="20"/>
        </w:rPr>
        <w:t xml:space="preserve">Раздел IV</w:t>
      </w:r>
      <w:r>
        <w:rPr>
          <w:sz w:val="20"/>
        </w:rP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5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списков лиц, подлежащих диспансерному наблюдению в отчетном году, их поквартальное распределение;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жизнеугрожающих состояний.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</w:t>
      </w:r>
      <w:hyperlink w:history="0" w:anchor="P135" w:tooltip="ПЕРЕЧЕНЬ">
        <w:r>
          <w:rPr>
            <w:sz w:val="20"/>
            <w:color w:val="0000ff"/>
          </w:rPr>
          <w:t xml:space="preserve">приложениях N 1</w:t>
        </w:r>
      </w:hyperlink>
      <w:r>
        <w:rPr>
          <w:sz w:val="20"/>
        </w:rPr>
        <w:t xml:space="preserve"> - </w:t>
      </w:r>
      <w:hyperlink w:history="0" w:anchor="P780" w:tooltip="ПЕРЕЧЕНЬ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ммоль/л и более, которые подлежат диспансерному наблюдению врачом-терапевтом.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Медицинский работник, указанный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при проведении диспансерного наблюдения: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группу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ведет учет лиц, находящихся под диспансерным наблюдением;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информирует о порядке, объеме и периодичности диспансерного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при необходимости дистанционное наблюдение за пациентами в соответствии с </w:t>
      </w:r>
      <w:hyperlink w:history="0" r:id="rId16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оказания медицинской помощи с применением телемедицинских технологий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Утвержден </w:t>
      </w:r>
      <w:hyperlink w:history="0" r:id="rId17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Диспансерный прием (осмотр, консультация) медицинским работником, указанным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оценку состояния лица, сбор жалоб и анамнеза, физикальное исследование, назначение и оценку лабораторных и инструментальных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установление или уточнение диагноза заболевания (состояния);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Сведения о диспансерном наблюдении вносятся в медицинскую документацию пациента, а также в учетную </w:t>
      </w:r>
      <w:hyperlink w:history="0" r:id="rId18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форму N 030/у</w:t>
        </w:r>
      </w:hyperlink>
      <w:r>
        <w:rPr>
          <w:sz w:val="20"/>
        </w:rPr>
        <w:t xml:space="preserve">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Утверждена </w:t>
      </w:r>
      <w:hyperlink w:history="0" r:id="rId19" w:tooltip="Приказ Минздрава России от 15.12.2014 N 834н (ред. от 18.04.2024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организация, осуществляющая диспансерное наблюдение граждан, обеспечивает посредством информационных систем в сфере здравоохранения &lt;6&gt; доступность информации о результатах приемов (осмотров, консультаций) медицинскими работниками, результатах исследований и иных медицинских вмешательств при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работающего застрахованного лица.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2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сфере здравоохранения &lt;7&gt;,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&lt;8&gt; и иных информационных систем, предусмотренных </w:t>
      </w:r>
      <w:hyperlink w:history="0" r:id="rId2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5" w:tooltip="Постановление Правительства РФ от 09.02.2022 N 140 (ред. от 30.04.2025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09.02.2022 N 140 "О единой государственной информационной системе в сфере здравоохранения".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6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7" w:tooltip="Постановление Правительства РФ от 24.10.2011 N 861 (ред. от 07.04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24.10.2011 N 861.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8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организация, осуществляющая диспансерное наблюдение работающего застрахованного лица,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контрольной карте.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инздрава России от 28.02.2024 N 91н &quot;О внесении изменений в порядок проведения диспансерного наблюдения за взрослыми, утвержденный приказом Министерства здравоохранения Российской Федерации от 15 марта 2022 г. N 168н&quot; (Зарегистрировано в Минюсте России 22.03.2024 N 7759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28.02.2024 N 91н)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Медицинский работник, указанный в </w:t>
      </w:r>
      <w:hyperlink w:history="0" w:anchor="P61" w:tooltip="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135" w:name="P135"/>
    <w:bookmarkEnd w:id="1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ПРИ НАЛИЧИИ КОТОРЫХ УСТАНАВЛИВАЕТСЯ ДИСПАНСЕРНОЕ</w:t>
      </w:r>
    </w:p>
    <w:p>
      <w:pPr>
        <w:pStyle w:val="2"/>
        <w:jc w:val="center"/>
      </w:pPr>
      <w:r>
        <w:rPr>
          <w:sz w:val="20"/>
        </w:rPr>
        <w:t xml:space="preserve">НАБЛЮДЕНИЕ ЗА ВЗРОСЛЫМ НАСЕЛЕНИЕМ ВРАЧОМ-ТЕРАПЕВТОМ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32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487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I10 - I15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(индекс массы тела </w:t>
            </w:r>
            <w:hyperlink w:history="0" w:anchor="P488" w:tooltip="&lt;2&gt; Далее - ИМТ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артериальное давление </w:t>
            </w:r>
            <w:hyperlink w:history="0" w:anchor="P489" w:tooltip="&lt;3&gt; Далее - АД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частота сердечных сокращений </w:t>
            </w:r>
            <w:hyperlink w:history="0" w:anchor="P490" w:tooltip="&lt;4&gt; Далее - ЧСС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холестерин-липопротеины низкой плотности </w:t>
            </w:r>
            <w:hyperlink w:history="0" w:anchor="P491" w:tooltip="&lt;5&gt; Далее - ХС-ЛПНП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альбуминурия в разовой порции мочи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электрокардиограммы </w:t>
            </w:r>
            <w:hyperlink w:history="0" w:anchor="P492" w:tooltip="&lt;6&gt; Далее - ЭКГ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эхокардиограммы </w:t>
            </w:r>
            <w:hyperlink w:history="0" w:anchor="P493" w:tooltip="&lt;7&gt; Далее - ЭхоКГ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(не реже 1 раза в год)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I20 - I25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международное нормализованное отношение </w:t>
            </w:r>
            <w:hyperlink w:history="0" w:anchor="P494" w:tooltip="&lt;8&gt; Далее - МНО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ишемии миокарда по результатам нагрузочного тестирования у пациентов после применения высокотехнологичных 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осуществляется:</w:t>
            </w:r>
          </w:p>
          <w:p>
            <w:pPr>
              <w:pStyle w:val="0"/>
            </w:pPr>
            <w:r>
              <w:rPr>
                <w:sz w:val="20"/>
              </w:rPr>
              <w:t xml:space="preserve">- после перенесенного инфаркта миокарда и его осложнения, а также после применения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по завершении диспансерного наблюдения у врача-кардиолога;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при стенокардии напряжения I - II функционального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аортокоронарного шунтового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коронарного ангиопластического имплантата и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I44 - I49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[атриовентрикулярная] блокада и блокада левой ножки пучка [Гиса];</w:t>
            </w:r>
          </w:p>
          <w:p>
            <w:pPr>
              <w:pStyle w:val="0"/>
            </w:pPr>
            <w:r>
              <w:rPr>
                <w:sz w:val="20"/>
              </w:rPr>
              <w:t xml:space="preserve">другие нарушения проводимости;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остановка сердца;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пароксизмальная тахикардия;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и подтверждение эффективности антиаритмического лечения по данным мониторирования ЭКГ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предсердной экстрасистолии, желудочковой экстрасистолии, наджелудочковой тахикардии, желудочковой тахикардии на фоне эффективной антиаритмической терапии.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искусственного водителя сердечного ритма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Сердечная недостаточность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скорости клубочковой фильтрации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снижения уровня эритроцитов, гемоглобина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N-концевого пропептида натрийуретического гормона (B-типа) (не реже 1 раза в 2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застоя в легких по данным рентгенографии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ЭхоКГ - фракция выброса левого желудочка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жизнеугрожающих нарушений ритма сердца по данным мониторирования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I65.2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Закупорка и стеноз сонной артерии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обмена липопротеинов и другие липидемии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и триглицеридов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терапии статинами - трансаминазы и креатинкиназы </w:t>
            </w:r>
            <w:hyperlink w:history="0" w:anchor="P495" w:tooltip="&lt;9&gt; Далее - КФК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 (через 4 недели от начала терапии или при мышечных симптомах);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стеноза сонных артерий по данным ультразвукового допплеровского исследования брахиоцефальных артерий -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врачом-терапевтом осуществляется при гиперхолестеринемии, за исключением тяжелой дислипидемии (общий холестерин сыворотки &gt; 8,0 ммоль/л и (или) ХС-ЛПНП &gt; 5,0 ммоль/л и (или) триглицериды &gt; 10 ммоль/л) и (или) подозрения на непереносимость гиполипидемической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реваскуляризации вследствие атеросклеротического поражения сосудистого русла.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гиперхолестеринемии (при уровне общего холестерина больше 8,0 ммоль/л - прием (осмотр, консультация) врача-кардиолога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R73.0, R73.9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Предиабет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глюкоза плазмы натощак и через 2 часа после нагрузки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врача-эндокринолога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Инсулиннезависимый сахарный диабет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 АД;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ХС-ЛПНП, гликированный гемоглобин,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врача-эндокринолога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I69.0 - I69.4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Последствия субарахноидального кровоизлияния, внтричерепного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глюкоза плазмы крови (натощак);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терапии статинами - трансаминазы и КФК (через 4 недели от начала терапии или при мышечных симптомах);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врача-невролога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I67.8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поражения сосудов мозга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Эзофагит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рецидивов эрозивного процесса по данным эзофагогастродуоденоскопии </w:t>
            </w:r>
            <w:hyperlink w:history="0" w:anchor="P496" w:tooltip="&lt;10&gt; Далее - ЭГДС.">
              <w:r>
                <w:rPr>
                  <w:sz w:val="20"/>
                  <w:color w:val="0000ff"/>
                </w:rPr>
                <w:t xml:space="preserve">&lt;10&gt;</w:t>
              </w:r>
            </w:hyperlink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3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K21.0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Гастроэзофагеальный рефлюкс с эзофагитом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(без цилиндроклеточной метаплазии - без пищевода Баррета) - отсутствие рецидивов эрозивного процесса по данным ЭГДС;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и цилиндроклеточной метаплазией - пищевод Барретта - 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гастроэзофагеальном рефлюксе с эзофагитом и цилиндроклеточной метаплазией - пищевод Барретта - 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Язва желудка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рецидивов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Язва двенадцатиперстной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рецидивов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последнего обострения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K31.7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желудка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белково-энергетической недостаточности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врача-гастроэнтеролога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врача-хирурга по медицинским показаниям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J41.0, J41.1, J41.8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Рецидивирующий и хронический бронхиты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функция внешнего дыхания </w:t>
            </w:r>
            <w:hyperlink w:history="0" w:anchor="P497" w:tooltip="&lt;11&gt; Далее - ФВД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Другая уточненная хроническая обструктивная легочная болезнь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J44.9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Хроническая обструктивная легочная болезнь неуточненная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J47.0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Бронхоэктатическая болезнь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 ФВД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врача-пульмонолога, врача-аллерголога (по медицинским показаниям)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Неаллергическая астма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Смешанная астма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J45.9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Астма неуточненная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J12, J13, J14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Состояние после перенесенной пневмонии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J84.1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Интерстициальные заболевания легких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или уменьшение частоты обострений ФВД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врача-пульмонолога (по медицинским показаниям)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врача-нефролога 1 раз в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N18.9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Хроническая болезнь почки неуточненная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врача-нефролога 1 раз в год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Идиопатический остеопороз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Биохимический анализ крови с определением уровня общего кальция, креатинина и щелочной фосфатазы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 - акушера-гинеколога (для женщин с остеопорозом, развившимся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K29.4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Хронический атрофический гастрит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злокачественных новообразованиях </w:t>
            </w:r>
            <w:hyperlink w:history="0" w:anchor="P498" w:tooltip="&lt;12&gt; Далее - ЗНО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K29.5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Хронический гастрит неуточненный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D12.6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Семейный полипоз толстой кишки, синдром Гартнера, синдром Пейца-Егерса, синдром Турко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K31.7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Полипы желудка и двенадцатиперстной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D12.8, K62.1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прямой кишки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при наличии: гиперпластического полипа - не реже 2 раз в год;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тубулярного полипа -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3х лет при отсутствии рецидива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K50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Болезнь Крона (регионарный энтерит)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K51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Язвенный колит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K22.0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Ахалазия кардиальной части пищевода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K22.2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Непроходимость пищевода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K22.7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Пищевод Барретта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K70.3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Алкогольный цирроз печени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ультразвукового исследования </w:t>
            </w:r>
            <w:hyperlink w:history="0" w:anchor="P499" w:tooltip="&lt;13&gt; Далее - УЗИ.">
              <w:r>
                <w:rPr>
                  <w:sz w:val="20"/>
                  <w:color w:val="0000ff"/>
                </w:rPr>
                <w:t xml:space="preserve">&lt;13&gt;</w:t>
              </w:r>
            </w:hyperlink>
            <w:r>
              <w:rPr>
                <w:sz w:val="20"/>
              </w:rPr>
              <w:t xml:space="preserve"> или компьютерной томографии </w:t>
            </w:r>
            <w:hyperlink w:history="0" w:anchor="P500" w:tooltip="&lt;14&gt; Далее - КТ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, или магнитно-резонансной томографии </w:t>
            </w:r>
            <w:hyperlink w:history="0" w:anchor="P501" w:tooltip="&lt;15&gt; Далее - МРТ.">
              <w:r>
                <w:rPr>
                  <w:sz w:val="20"/>
                  <w:color w:val="0000ff"/>
                </w:rPr>
                <w:t xml:space="preserve">&lt;15&gt;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альфа-фетопротеина </w:t>
            </w:r>
            <w:hyperlink w:history="0" w:anchor="P502" w:tooltip="&lt;16&gt; Далее - АФП.">
              <w:r>
                <w:rPr>
                  <w:sz w:val="20"/>
                  <w:color w:val="0000ff"/>
                </w:rPr>
                <w:t xml:space="preserve">&lt;16&gt;</w:t>
              </w:r>
            </w:hyperlink>
            <w:r>
              <w:rPr>
                <w:sz w:val="20"/>
              </w:rPr>
              <w:t xml:space="preserve"> крови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 (или) рост дополнительных объемных образований в паренхиме печени)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K74.3 - K74.6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Первичный билиарный цирроз, вторичный билиарный цирроз, билиарный цирроз неуточненный, другое и неуточненный цирроз печени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Гепатоцеллюлярная аденома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УЗИ или КТ, или МРТ;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АФП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удаления гепатоцеллюлярной аденомы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или увеличение размеров и\или васкуляризации аденомы, злокачественный рост по данным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желчного пузыря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Пожизненно или до оперативного удаления желчного пузыря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87" w:name="P487"/>
    <w:bookmarkEnd w:id="4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34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488" w:name="P488"/>
    <w:bookmarkEnd w:id="4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ИМТ.</w:t>
      </w:r>
    </w:p>
    <w:bookmarkStart w:id="489" w:name="P489"/>
    <w:bookmarkEnd w:id="4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АД.</w:t>
      </w:r>
    </w:p>
    <w:bookmarkStart w:id="490" w:name="P490"/>
    <w:bookmarkEnd w:id="4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ЧСС.</w:t>
      </w:r>
    </w:p>
    <w:bookmarkStart w:id="491" w:name="P491"/>
    <w:bookmarkEnd w:id="4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ХС-ЛПНП.</w:t>
      </w:r>
    </w:p>
    <w:bookmarkStart w:id="492" w:name="P492"/>
    <w:bookmarkEnd w:id="4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ЭКГ.</w:t>
      </w:r>
    </w:p>
    <w:bookmarkStart w:id="493" w:name="P493"/>
    <w:bookmarkEnd w:id="4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ЭхоКГ.</w:t>
      </w:r>
    </w:p>
    <w:bookmarkStart w:id="494" w:name="P494"/>
    <w:bookmarkEnd w:id="4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МНО.</w:t>
      </w:r>
    </w:p>
    <w:bookmarkStart w:id="495" w:name="P495"/>
    <w:bookmarkEnd w:id="4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КФК.</w:t>
      </w:r>
    </w:p>
    <w:bookmarkStart w:id="496" w:name="P496"/>
    <w:bookmarkEnd w:id="4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ЭГДС.</w:t>
      </w:r>
    </w:p>
    <w:bookmarkStart w:id="497" w:name="P497"/>
    <w:bookmarkEnd w:id="4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Далее - ФВД.</w:t>
      </w:r>
    </w:p>
    <w:bookmarkStart w:id="498" w:name="P498"/>
    <w:bookmarkEnd w:id="4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Далее - ЗНО.</w:t>
      </w:r>
    </w:p>
    <w:bookmarkStart w:id="499" w:name="P499"/>
    <w:bookmarkEnd w:id="4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Далее - УЗИ.</w:t>
      </w:r>
    </w:p>
    <w:bookmarkStart w:id="500" w:name="P500"/>
    <w:bookmarkEnd w:id="5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Далее - КТ.</w:t>
      </w:r>
    </w:p>
    <w:bookmarkStart w:id="501" w:name="P501"/>
    <w:bookmarkEnd w:id="5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Далее - МРТ.</w:t>
      </w:r>
    </w:p>
    <w:bookmarkStart w:id="502" w:name="P502"/>
    <w:bookmarkEnd w:id="5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Далее - АФП.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ПРИ НАЛИЧИИ КОТОРЫХ УСТАНАВЛИВАЕТСЯ ДИСПАНСЕРНОЕ</w:t>
      </w:r>
    </w:p>
    <w:p>
      <w:pPr>
        <w:pStyle w:val="2"/>
        <w:jc w:val="center"/>
      </w:pPr>
      <w:r>
        <w:rPr>
          <w:sz w:val="20"/>
        </w:rPr>
        <w:t xml:space="preserve">НАБЛЮДЕНИЕ ЗА ВЗРОСЛЫМ НАСЕЛЕНИЕМ ВРАЧОМ-КАРДИОЛОГОМ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3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754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I05 - I09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Хронические ревматические болезни сердца</w:t>
            </w:r>
          </w:p>
        </w:tc>
        <w:tc>
          <w:tcPr>
            <w:tcW w:w="198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(индекс массы тела </w:t>
            </w:r>
            <w:hyperlink w:history="0" w:anchor="P755" w:tooltip="&lt;2&gt; Далее - ИМТ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артериальное давление </w:t>
            </w:r>
            <w:hyperlink w:history="0" w:anchor="P756" w:tooltip="&lt;3&gt; Далее - АД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, частота сердечных сокращений </w:t>
            </w:r>
            <w:hyperlink w:history="0" w:anchor="P757" w:tooltip="&lt;4&gt; Далее - ЧСС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скорости клубочковой фильтрации </w:t>
            </w:r>
            <w:hyperlink w:history="0" w:anchor="P758" w:tooltip="&lt;5&gt; Далее - СКФ.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международное нормализованное отношение </w:t>
            </w:r>
            <w:hyperlink w:history="0" w:anchor="P759" w:tooltip="&lt;6&gt; Далее - МНО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электрокардиограммы </w:t>
            </w:r>
            <w:hyperlink w:history="0" w:anchor="P760" w:tooltip="&lt;7&gt; Далее - ЭКГ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застоя в легких по данным рентгенографии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заболевания по результатам эхокардиограммы </w:t>
            </w:r>
            <w:hyperlink w:history="0" w:anchor="P761" w:tooltip="&lt;8&gt; Далее - ЭхоКГ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 - диаметр аорты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пациентов с аневризмой грудной аорты (расширение любого отдела грудной аорты &gt; 40 мм) - компьютерная томографическая ангиография </w:t>
            </w:r>
            <w:hyperlink w:history="0" w:anchor="P762" w:tooltip="&lt;9&gt; Далее - КТ-ангиография.">
              <w:r>
                <w:rPr>
                  <w:sz w:val="20"/>
                  <w:color w:val="0000ff"/>
                </w:rPr>
                <w:t xml:space="preserve">&lt;9&gt;</w:t>
              </w:r>
            </w:hyperlink>
            <w:r>
              <w:rPr>
                <w:sz w:val="20"/>
              </w:rPr>
              <w:t xml:space="preserve">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пороках сердца и крупных сосудов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Дефект 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Аневризма и расслоение аорты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протеза сердечного клапана, наличие ксеногенного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 наличии факторов риска (неконтролируемая артериальная гипертония, двустворчатый аортальный клапан, планируемая беременность, тяжелая аортальная, митральная регургитация, коарктация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(транскатетерной, гибридной)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I10 - I15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оценка домашнего мониторирования артериального давления и дневников с указанием доз принимаемых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холестерин-липопротеины низкой плотности </w:t>
            </w:r>
            <w:hyperlink w:history="0" w:anchor="P763" w:tooltip="&lt;10&gt; Далее - ХС-ЛПНП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альбуминурия в разовой порции мочи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C4 и выше стадии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I20 - I25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</w:t>
            </w:r>
            <w:hyperlink w:history="0" w:anchor="P764" w:tooltip="&lt;11&gt; Далее - ФК.">
              <w:r>
                <w:rPr>
                  <w:sz w:val="20"/>
                  <w:color w:val="0000ff"/>
                </w:rPr>
                <w:t xml:space="preserve">&lt;11&gt;</w:t>
              </w:r>
            </w:hyperlink>
            <w:r>
              <w:rPr>
                <w:sz w:val="20"/>
              </w:rPr>
              <w:t xml:space="preserve">, состояния после высокотехнологичных методов лечения на коронарных артериях (чрескожное коронарное вмешательство и аортокоронарное и (или) маммарокоронарное шунтирование) в первые 12 мес. после вмешательства, ишемическая болезнь сердца при неэффективности медикаментозной терапии (рефрактерные симптомы, недостижение целевых уровней АД, ЧСС, ХС-ЛПНП), ишемическая болезнь сердца при наличии сердечной недостаточности и (или) жизнеугрожающих нарушений ритма, ишемическая болезнь сердца в сочетании с сахарным диабетом и (или) хронической болезнью почек C4 и более стадии, при комбинированной антитромботической терапии, ишемическая болезнь сердца в сочетании с симптомным заболеванием периферических артерий и атеросклерозом другого сосудистого бассейна при назначении двойной антиагрегантной или комбинированной антитромботической терапии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аортокоронарного шунтового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Z95.5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коронарного ангиопластичного имплантата трансплантата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Легочная эмболия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4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12 месяцев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Первичная легочная гипертензия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ЧСС, пульсоксиметрия в покое;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N-концевого пропептида натрийуретического гормона (B-типа) </w:t>
            </w:r>
            <w:hyperlink w:history="0" w:anchor="P765" w:tooltip="&lt;12&gt; Далее - NT-proBNP.">
              <w:r>
                <w:rPr>
                  <w:sz w:val="20"/>
                  <w:color w:val="0000ff"/>
                </w:rPr>
                <w:t xml:space="preserve">&lt;12&gt;</w:t>
              </w:r>
            </w:hyperlink>
            <w:r>
              <w:rPr>
                <w:sz w:val="20"/>
              </w:rPr>
              <w:t xml:space="preserve">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 6-минутной ходьбы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эргоспирометрия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болезни легочных сосудов с их соответствующим описанием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Другая вторичная легочная гипертензия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I27.8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уточненные формы легочно-сердечной недостаточности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I33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Острый и подострый эндокардит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 и определением уровня C-реактивного белка </w:t>
            </w:r>
            <w:hyperlink w:history="0" w:anchor="P766" w:tooltip="&lt;13&gt; Далее - CРБ.">
              <w:r>
                <w:rPr>
                  <w:sz w:val="20"/>
                  <w:color w:val="0000ff"/>
                </w:rPr>
                <w:t xml:space="preserve">&lt;13&gt;</w:t>
              </w:r>
            </w:hyperlink>
            <w:r>
              <w:rPr>
                <w:sz w:val="20"/>
              </w:rPr>
              <w:t xml:space="preserve">)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месяцев после выздоровления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перенесенном инфекционном эндокардите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I38 - I39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Острый миокардит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год; ежемесячно - на фоне иммуносупрессивной терапии);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CРБ и NT-proBNP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 месяцев после выздоровления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Миокардит при болезнях, классифицированных в других рубриках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I51.4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Миокардит неуточненный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Кардиомиопатия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I44 - I49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жизнеугрожающие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катетерная аблация по поводу сердечно-сосудистых заболеваний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Z95.0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Наличие искусственного водителя сердечного ритма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Сердечная недостаточность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пациентам при терапии варфарином - МНО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NT-proBNP (не реже 1 раза в 2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органов грудной клетки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ЭхоКГ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мониторирование ЭКГ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</w:t>
            </w:r>
            <w:hyperlink w:history="0" w:anchor="P767" w:tooltip="&lt;14&gt; Далее - фракция выброса.">
              <w:r>
                <w:rPr>
                  <w:sz w:val="20"/>
                  <w:color w:val="0000ff"/>
                </w:rPr>
                <w:t xml:space="preserve">&lt;14&gt;</w:t>
              </w:r>
            </w:hyperlink>
            <w:r>
              <w:rPr>
                <w:sz w:val="20"/>
              </w:rPr>
              <w:t xml:space="preserve"> левого желудочка &lt; 40% и (или) III - IV функционального класса по классификации Нью-Йоркской ассоциации сердца (NYHA, 1964), 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40% в сочетании с сахарным диабетом и (или) хронической болезнью почек 4 и 5 стадии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I65.2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Закупорка и стеноз сонной артерии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стеноз внутренней сонной артерии от 40% при сочетании с ишемической болезнью сердца и симптомным атеросклеротическим поражением периферических артерий или артерий другого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обмена липопротеинов и другие липидемии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Вес (ИМТ), окружность талии, статус курения;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АД, ЧСС;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общетерапевтический биохимический анализ крови (с расчетом СКФ)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клинический анализ крови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ХС-ЛПНП и триглицериды (не реже 2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ЭКГ (не реже 1 раза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дуплексное сканирование брахиоцефальных артерий (не реже 1 раза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тяжелая дислипидемия (общий холестерин сыворотки &gt; 8,0 ммоль/л и (или) ХС-ЛПНП &gt; 5,0 ммоль/л и (или) триглицериды &gt; 10 ммоль/л) и (или) подозрение на непереносимость гиполипидемической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реваскуляризации вследствие атеросклеротического поражения сосудистого русла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Q20 - Q28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аномалии 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ЭхоКГ (не реже 1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5 лет при кодах Q21.0, Q21.1, Q21.4 после оперативного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Пожизненно при других кодах в группе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 сердечно-сосудистого хирурга при отклонении соответствующих контролируемых показателей по данным ЭхоКГ</w:t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4" w:name="P754"/>
    <w:bookmarkEnd w:id="7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37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755" w:name="P755"/>
    <w:bookmarkEnd w:id="7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ИМТ.</w:t>
      </w:r>
    </w:p>
    <w:bookmarkStart w:id="756" w:name="P756"/>
    <w:bookmarkEnd w:id="7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АД.</w:t>
      </w:r>
    </w:p>
    <w:bookmarkStart w:id="757" w:name="P757"/>
    <w:bookmarkEnd w:id="7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ЧСС.</w:t>
      </w:r>
    </w:p>
    <w:bookmarkStart w:id="758" w:name="P758"/>
    <w:bookmarkEnd w:id="7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СКФ.</w:t>
      </w:r>
    </w:p>
    <w:bookmarkStart w:id="759" w:name="P759"/>
    <w:bookmarkEnd w:id="7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МНО.</w:t>
      </w:r>
    </w:p>
    <w:bookmarkStart w:id="760" w:name="P760"/>
    <w:bookmarkEnd w:id="7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ЭКГ.</w:t>
      </w:r>
    </w:p>
    <w:bookmarkStart w:id="761" w:name="P761"/>
    <w:bookmarkEnd w:id="7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ЭхоКГ.</w:t>
      </w:r>
    </w:p>
    <w:bookmarkStart w:id="762" w:name="P762"/>
    <w:bookmarkEnd w:id="7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КТ-ангиография.</w:t>
      </w:r>
    </w:p>
    <w:bookmarkStart w:id="763" w:name="P763"/>
    <w:bookmarkEnd w:id="7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ХС-ЛПНП.</w:t>
      </w:r>
    </w:p>
    <w:bookmarkStart w:id="764" w:name="P764"/>
    <w:bookmarkEnd w:id="7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Далее - ФК.</w:t>
      </w:r>
    </w:p>
    <w:bookmarkStart w:id="765" w:name="P765"/>
    <w:bookmarkEnd w:id="7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Далее - NT-proBNP.</w:t>
      </w:r>
    </w:p>
    <w:bookmarkStart w:id="766" w:name="P766"/>
    <w:bookmarkEnd w:id="7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Далее - CРБ.</w:t>
      </w:r>
    </w:p>
    <w:bookmarkStart w:id="767" w:name="P767"/>
    <w:bookmarkEnd w:id="7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Далее - фракция выброса.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диспансерного</w:t>
      </w:r>
    </w:p>
    <w:p>
      <w:pPr>
        <w:pStyle w:val="0"/>
        <w:jc w:val="right"/>
      </w:pPr>
      <w:r>
        <w:rPr>
          <w:sz w:val="20"/>
        </w:rPr>
        <w:t xml:space="preserve">наблюдения за взрослыми,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марта 2022 г. N 168н</w:t>
      </w:r>
    </w:p>
    <w:p>
      <w:pPr>
        <w:pStyle w:val="0"/>
        <w:jc w:val="both"/>
      </w:pPr>
      <w:r>
        <w:rPr>
          <w:sz w:val="20"/>
        </w:rPr>
      </w:r>
    </w:p>
    <w:bookmarkStart w:id="780" w:name="P780"/>
    <w:bookmarkEnd w:id="78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ХРОНИЧЕСКИХ ЗАБОЛЕВАНИЙ, ФУНКЦИОНАЛЬНЫХ РАССТРОЙСТВ, ИНЫХ</w:t>
      </w:r>
    </w:p>
    <w:p>
      <w:pPr>
        <w:pStyle w:val="2"/>
        <w:jc w:val="center"/>
      </w:pPr>
      <w:r>
        <w:rPr>
          <w:sz w:val="20"/>
        </w:rPr>
        <w:t xml:space="preserve">СОСТОЯНИЙ, КОТОРЫЕ ПРЕДШЕСТВУЮТ РАЗВИТИЮ ЗЛОКАЧЕСТВЕННЫХ</w:t>
      </w:r>
    </w:p>
    <w:p>
      <w:pPr>
        <w:pStyle w:val="2"/>
        <w:jc w:val="center"/>
      </w:pPr>
      <w:r>
        <w:rPr>
          <w:sz w:val="20"/>
        </w:rPr>
        <w:t xml:space="preserve">НОВООБРАЗОВАНИЙ, ПРИ НАЛИЧИИ КОТОРЫХ УСТАНАВЛИВАЕТСЯ</w:t>
      </w:r>
    </w:p>
    <w:p>
      <w:pPr>
        <w:pStyle w:val="2"/>
        <w:jc w:val="center"/>
      </w:pPr>
      <w:r>
        <w:rPr>
          <w:sz w:val="20"/>
        </w:rPr>
        <w:t xml:space="preserve">ДИСПАНСЕРНОЕ НАБЛЮДЕНИЕ ЗА ВЗРОСЛЫМ</w:t>
      </w:r>
    </w:p>
    <w:p>
      <w:pPr>
        <w:pStyle w:val="2"/>
        <w:jc w:val="center"/>
      </w:pPr>
      <w:r>
        <w:rPr>
          <w:sz w:val="20"/>
        </w:rPr>
        <w:t xml:space="preserve">НАСЕЛЕНИЕМ ВРАЧАМИ-СПЕЦИАЛИСТАМИ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Международной статистической </w:t>
            </w:r>
            <w:hyperlink w:history="0" r:id="rId38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sz w:val="20"/>
                  <w:color w:val="0000ff"/>
                </w:rPr>
                <w:t xml:space="preserve">Классификации</w:t>
              </w:r>
            </w:hyperlink>
            <w:r>
              <w:rPr>
                <w:sz w:val="20"/>
              </w:rPr>
              <w:t xml:space="preserve"> болезней и проблем, связанных со здоровьем, 10-го пересмотра </w:t>
            </w:r>
            <w:hyperlink w:history="0" w:anchor="P1279" w:tooltip="&lt;1&gt; Далее - МКБ-10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Длительность диспансерного наблюдения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врача-инфекциониста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B18.0 - B18.2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по данным ультразвукового исследования </w:t>
            </w:r>
            <w:hyperlink w:history="0" w:anchor="P1280" w:tooltip="&lt;2&gt; Далее - УЗИ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или магнитно-резонансной томографии </w:t>
            </w:r>
            <w:hyperlink w:history="0" w:anchor="P1281" w:tooltip="&lt;3&gt; Далее - МРТ.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повышение уровня альфа-фетопротеина </w:t>
            </w:r>
            <w:hyperlink w:history="0" w:anchor="P1282" w:tooltip="&lt;4&gt; Далее - АФП.">
              <w:r>
                <w:rPr>
                  <w:sz w:val="20"/>
                  <w:color w:val="0000ff"/>
                </w:rPr>
                <w:t xml:space="preserve">&lt;4&gt;</w:t>
              </w:r>
            </w:hyperlink>
            <w:r>
              <w:rPr>
                <w:sz w:val="20"/>
              </w:rPr>
              <w:t xml:space="preserve">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референсных значений, появление или увеличение размеров дополнительных объемных образований в паренхиме печени)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B20 - B24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Болезнь, вызванная вирусом иммунодефицита человека (ВИЧ)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1 раз в год.</w:t>
            </w:r>
          </w:p>
          <w:p>
            <w:pPr>
              <w:pStyle w:val="0"/>
            </w:pPr>
            <w:r>
              <w:rPr>
                <w:sz w:val="20"/>
              </w:rPr>
              <w:t xml:space="preserve">У женщин при 3 стадии и количестве CD4+ клеток 200 и более на мкл - 1 раз в год консультация врача-акушера-гинеколога, при других стадиях и количестве CD4+ клеток менее 200 на мл - консультация врача-акушера-гинеколога 1 раз в 6 месяцев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врача-эндокринолога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E34.8, D13.7, D35.0 - D35.2, D35.8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Множественный эндокринный аденоматоз,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глюкозы, инсулина, пролактина, инсулиноподобного фактора роста-1 крови, хромогранина A, глюкагона, гастрина вазоинтестинального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кальция мочи;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паращитовидных желез, поджелудочной железы, надпочечников;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данным МРТ гипофиза, УЗИ шеи, УЗИ органов брюшной полости;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эзофагогастродуоденоскопии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злокачественного новообразования </w:t>
            </w:r>
            <w:hyperlink w:history="0" w:anchor="P1283" w:tooltip="&lt;5&gt; Далее - ЗНО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(атипия клеток в пунктате) (TIRADS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III).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Дисплазия или аденокарцинома по результатам ЭГДС с множественной биопсией, изменения уровня, хромогранина A, глюкагона, гастрина вазоинтестинального полипептида, панкреатического полипептида крови, паратиреоидного гормона, кальция (общего и ионизированного), фосфора крови, кальция мочи, отличающиеся от референсных значений)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D44.8, D35.0, D35.1 D35.8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Множественная эндокринная неоплазия: тип 2A (Синдром Сиппла);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 2B (Синдром Горлина)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Исключение ЗНО щитовидной железы, паращитовидных желез;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гормонов щитовидной железы (согласно клиническим рекомендациям) и паратиреоидного гормона;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кальцитонина крови, хромогранина A;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метанефринов и норметанефринов суточной мочи или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4, и (или)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III), изменение уровня гормонов щитовидной железы (согласно клиническим рекомендациям) и паратиреоидного гормона, кальцитонина крови, раковоэмбриональный антиген </w:t>
            </w:r>
            <w:hyperlink w:history="0" w:anchor="P1284" w:tooltip="&lt;6&gt; Далее - РЭА.">
              <w:r>
                <w:rPr>
                  <w:sz w:val="20"/>
                  <w:color w:val="0000ff"/>
                </w:rPr>
                <w:t xml:space="preserve">&lt;6&gt;</w:t>
              </w:r>
            </w:hyperlink>
            <w:r>
              <w:rPr>
                <w:sz w:val="20"/>
              </w:rPr>
              <w:t xml:space="preserve">, хромогранина A, метанефринов и норметанефринов суточной мочи или крови, отличающиеся от референсных значений), кальция крови, скорректированного по альбумину или ионизированного, отличающиеся от референсных значений, наличие объемных образований по результатам УЗИ шеи, компьютерной томографии </w:t>
            </w:r>
            <w:hyperlink w:history="0" w:anchor="P1285" w:tooltip="&lt;7&gt; Далее - КТ.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или МРТ надпочечников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E34.5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Группа заболеваний с нарушением формирования пола (варианты дисгенезии гонад и синдромов резистентности к андрогенам)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АФП, бета хорионического гормона, </w:t>
            </w:r>
            <w:hyperlink w:history="0" w:anchor="P1286" w:tooltip="&lt;8&gt; Далее - ХГЧ.">
              <w:r>
                <w:rPr>
                  <w:sz w:val="20"/>
                  <w:color w:val="0000ff"/>
                </w:rPr>
                <w:t xml:space="preserve">&lt;8&gt;</w:t>
              </w:r>
            </w:hyperlink>
            <w:r>
              <w:rPr>
                <w:sz w:val="20"/>
              </w:rPr>
              <w:t xml:space="preserve">, уровень лактатдегидрогеназы крови </w:t>
            </w:r>
            <w:hyperlink w:history="0" w:anchor="P1287" w:tooltip="&lt;9&gt; Далее - ЛДГ.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момента удаления гонад (при наличии показаний)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(изменение уровня АФП, ХГЧ, ЛДГ в крови, отличающиеся от референсных значений, наличие объемных образований по данным УЗИ)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E22.0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Акромегалия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колоноскопии с множественной биопсией;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 или аденокарцинома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семейном полипозе толстой кишки - решение вопроса о выполнении профилактической колэктомии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E04.1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Нетоксический одноузловой зоб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ткани/ложа щитовидной железы по данным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тиреотропного гормона в крови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кальцитонина в сыворотке крови при первичном обращении;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пункционной биопсии с цитологическим или морфологическим исследованием;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показаниям, TIRADS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4 и/или наличие атипии клеток по результатам цитологического исследования пунктата (Bethesda </w:t>
            </w:r>
            <w:r>
              <w:rPr>
                <w:position w:val="-2"/>
              </w:rPr>
              <w:drawing>
                <wp:inline distT="0" distB="0" distL="0" distR="0">
                  <wp:extent cx="123825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III), повышение кальцитонина крови у женщин более 10 пг/мл, у мужчин более 15 пг/мл.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Нетоксический многоузловой зоб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Тиреотоксикоз с токсическим одноузловым зобом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E05.2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Тиреотоксикоз с токсическим многоузловым зобом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D35.1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Аденома паращитовидной железы.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Оценка размеров образования паращитовидной железы при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кальция, (скорректированный на альбумин), фосфора, креатинина и паратгормона в сыворотке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сцинтиграфия с технецием [99mTc] сестамиби (по показаниям);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денситометрия (по показаниям)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показаниям: уровень общего кальция, скорректированного на альбумин &gt; 3 ммоль/л, размер опухоли &gt; 3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Морфологическая картина атипической аденомы по данным послеоперационного гистологического исследования.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Множественные аденомы паращитовидных желез (синдром МЭН1, МЭН2А и др.)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E21.0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Первичный гиперпаратиреоз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D35.0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Аденома надпочечника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калия, натрия, глюкозы. АД;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проба с дексаметазоном 1 мг. (Нор) метанефрины в суточной моче или плазме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5 лет при гормонально неактивных инциденталомах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показаниям: размер опухоли &gt; 4 см.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Подозрение на ЗНО надпочечника по данным компьютерной томографии с контрастом (высокая нативная плотность - более 20 ЕД Н и низкое выведение контраста).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Морфологическая картина феохромоцитомы, адренокортикального рака или метастаза в надпочечник по данным послеоперационного гистологического исследования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врача-невролога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Туберозный склероз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данным МРТ головного мозга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врача-хирурга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больших слюнных желез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ткани больших слюнных желез по данным осмотра и УЗИ;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Полиостозная 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появление и (или) увеличение структурных изменений костной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врача-уролога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Папилломы, полипы мочевого пузыря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ультразвуковых признаков роста образования по результатам УЗИ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Папилломы, полипы мочеиспускательного канала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ультразвуковых признаков роста образования по результатам УЗИ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уретероскопии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N48.0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полового члена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при физикальном осмотре с контролем размеров, структуры, толщины очага лейкоплакии;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in situ, инвазивный рак)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D41.0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Сложные кисты почки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Bosniak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Bosniak)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D30.0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Ангиомиолипома почки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и васкуляризации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образований, накопление контрастного вещества)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Простатическая интраэпителиальная неоплазия простаты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 по результатам физикального осмотра и УЗИ предстательной железы;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пункционной биопсии;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простатспецифического антигена </w:t>
            </w:r>
            <w:hyperlink w:history="0" w:anchor="P1288" w:tooltip="&lt;10&gt; Далее - ПСА.">
              <w:r>
                <w:rPr>
                  <w:sz w:val="20"/>
                  <w:color w:val="0000ff"/>
                </w:rPr>
                <w:t xml:space="preserve">&lt;10&gt;</w:t>
              </w:r>
            </w:hyperlink>
            <w:r>
              <w:rPr>
                <w:sz w:val="20"/>
              </w:rPr>
              <w:t xml:space="preserve"> в сыворотке крови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(рост образования по данным УЗИ и физикального осмотра, изменение уровня ПСА в сыворотке крови, отличающиеся от референсных значений, наличие данных о ЗНО по результатам морфологического исследования пунктата)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врача-травматолога-ортопеда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M96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гиперостоза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10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признаков гиперостоза или деструкции по результатам рентгенографии костей и суставов и (или) КТ и (или) МРТ костей и суставов)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M88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Болезнь Педжета (костей) деформирующий остеит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Солитарные и множественные остеохондромы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 и (или) сцинтиграфии;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M85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Энхондроматоз (дисхондроплазия, болезнь Оллье).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при наличии неудаленных новообразований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врача-офтальмолога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D31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 и (или) МРТ орбит;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атипии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(изменения при фоторегистрации переднего и заднего отрезков глаза, при ультразвуковом исследовании переднего и заднего отрезка глаза, орбиты, флюоресцентной ангиографии, оптической когерентной томографии, КТ/МРТ орбит, признаки атипии по данным морфологического исследования и (или) изменения клинических параметров образования кожи века)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D23.1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 кожи века, включая спайку век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врача-оториноларинголога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голосовой складки и гортани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(увеличения размера полипа, изъязвления) по результатам осмотра врача-специалиста;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ларингоскопии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Папилломатоз, фиброматоз гортани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атипии при морфологическом исследовании биоптата)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трахеи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трахеоскопии с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Инвертированная папиллома полости носа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 носа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зеркальной фиброскопии полости носа и носоглотки,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5 лет с момента хирургического лечения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Новообразование среднего уха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микроотоскопии, КТ или МРТ височных 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D10.4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 и эндоскопического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других частей ротоглотки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носоглотки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гортаноглотки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D10.9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глотки неуточненной локализации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ларингит и ларинготрахеит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врача-специалиста, Фиброларингоскопии;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J31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Хронический ринит, назофарингит, фарингит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результатам осмотра специалиста, зеркальной фиброскопии полости носа и глотки, КТ или МРТ лицевого скелета;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врача-стоматолога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Абразивный хейлит Манганотти, ограниченный гиперкератоз, бородавчатый предрак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языка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дна полости 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1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D10.3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других неуточненных частей рта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K13.7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Меланоз полости рта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изменения размеров, консистенции, формы образований по данным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Q78.1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Полиостозная фиброзная дисплазия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прогрессирования: появление и (или) увеличение структурных изменений костной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люминесцентной стоматоскопии с прицельной биопсией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врача-дерматовенеролога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диспластических невусов, синдром FAMM (семейный синдром атипических множественных невусов), синдром FAMMM (семейный синдром атипических множественных невусов с меланомой)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гигантские и крупные невусы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Невус Ядассона, синдром Горлина-Гольца, синдром Базекса, синдром Рембо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L57.1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Актинический кератоз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L82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Эруптивный себорейный кератоз (как проявление фотоповреждения кожи)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Q82.1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Ксеродерма пигментная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ежеквартально в течение первого года диспансерного наблюдения, далее - 2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(дерматоскопии, цифрового картирования кожи)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(признаки атипии по данным морфологического исследования и (или) изменение клинических параметров образования)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врача-акушера-гинеколога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Полипы шейки матки и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полипэктомии или раздельном диагностическом выскабливании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 - при отсутствии рецидива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в полученном материале интраэпителиальной неоплазии, атипической гиперплазии эндометрия, аденокарциномы, рака (in situ, инвазивного)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E28.2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Синдром поликистоза яичников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половых гормонов (согласно клиническим рекомендациям);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объемных образований по результатам УЗИ щитовидной железы, паращитовидных желез и органов малого таза;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онкомаркеров CA-125 и HE-4 сыворотки крови;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уровень глюкозы по результатам перорального глюкозотолерантного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 массы тела, окружность талии, уровень артериального давления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(тенденция к увеличению уровня онкомаркеров CA-125 и HE4 при динамическом наблюдении, гиперплазия эндометрия, а также 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врача-эндокринолога для проведения перорального глюкозотолерантного теста при необходимости.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врача-дерматовенеролога при наличии жалоб на акне и выпадение волос.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Консультация врача-диетолога с целью модификации образа жизни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N88.0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Лейкоплакия шейки матки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N85.0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Железистая гиперплазия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рецидива заболевания, по результатам УЗИ органов малого таза - отсутствие увеличения толщины эндометрия более 5 мм на 5 - 7 день цикла или более 4 мм в постменопузе;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рецидивирующей гиперплазии в постменопаузе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Аденоматозная гиперплазия эндометрия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рецидива заболевания по результатам УЗИ органов малого таза - отсутствие увеличения толщины эндометрия более 5 мм на 5 - 7 день цикла и более 4 мм в постменопузе;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гистероскопии,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динамике по результатам УЗИ, наличие атипии клеток в полученном материале (эндометриальная интраэпителиальная неоплазия, атипическая гиперплазия эндометрия, аденокарцинома)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Умеренная дисплазия шейки матки Цервикальная интраэпителиальная неоплазия (CIN) II степени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N87.2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Резко выраженная дисплазия шейки матки, не классифицированная в других рубриках Цервикальная интраэпителиальная неоплазия (CIN) III степени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20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in situ, инвазивного рака по результатам морфологического исследования биоптата шейки матки)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D39.1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Уровень сывороточного онкомаркера CA-125, HE4, ингибин B, ЛДГ, АФП, РЭА, ХГЧ;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васкуляризация кист, наличие папиллярных 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Пожизненно (до излечения)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онкомаркеров CA-125, HE4, ингибин B, ЛДГ, АФП, РЭА, ХГЧ; при выявлении мутации генов BRCA1 и BRCA2, CHEC)</w:t>
            </w:r>
          </w:p>
        </w:tc>
      </w:tr>
      <w:tr>
        <w:tc>
          <w:tcPr>
            <w:gridSpan w:val="7"/>
            <w:tcW w:w="1474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Диспансерное наблюдение у врача-онколога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D24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Доброкачественное новообразование молочной железы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изменений по данным осмотра, пальпации молочных желез, шейно-надключичных и подмышечных зон;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признаков роста и изменения степени васкуляризации по инструментальным методам исследования (УЗИ, маммография);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наступления менопаузы, но не менее 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N60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Доброкачественная дисплазия молочной железы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До 60 лет, но не менее 5 лет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0"/>
          <w:headerReference w:type="first" r:id="rId30"/>
          <w:footerReference w:type="default" r:id="rId31"/>
          <w:footerReference w:type="first" r:id="rId31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279" w:name="P1279"/>
    <w:bookmarkEnd w:id="12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Далее - </w:t>
      </w:r>
      <w:hyperlink w:history="0" r:id="rId4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.</w:t>
      </w:r>
    </w:p>
    <w:bookmarkStart w:id="1280" w:name="P1280"/>
    <w:bookmarkEnd w:id="12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УЗИ.</w:t>
      </w:r>
    </w:p>
    <w:bookmarkStart w:id="1281" w:name="P1281"/>
    <w:bookmarkEnd w:id="12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МРТ.</w:t>
      </w:r>
    </w:p>
    <w:bookmarkStart w:id="1282" w:name="P1282"/>
    <w:bookmarkEnd w:id="12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Далее - АФП.</w:t>
      </w:r>
    </w:p>
    <w:bookmarkStart w:id="1283" w:name="P1283"/>
    <w:bookmarkEnd w:id="12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Далее - ЗНО.</w:t>
      </w:r>
    </w:p>
    <w:bookmarkStart w:id="1284" w:name="P1284"/>
    <w:bookmarkEnd w:id="12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Далее - РЭА.</w:t>
      </w:r>
    </w:p>
    <w:bookmarkStart w:id="1285" w:name="P1285"/>
    <w:bookmarkEnd w:id="12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Далее - КТ.</w:t>
      </w:r>
    </w:p>
    <w:bookmarkStart w:id="1286" w:name="P1286"/>
    <w:bookmarkEnd w:id="1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Далее - ХГЧ.</w:t>
      </w:r>
    </w:p>
    <w:bookmarkStart w:id="1287" w:name="P1287"/>
    <w:bookmarkEnd w:id="12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Далее - ЛДГ.</w:t>
      </w:r>
    </w:p>
    <w:bookmarkStart w:id="1288" w:name="P1288"/>
    <w:bookmarkEnd w:id="12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Далее - ПСА.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15.03.2022 N 168н</w:t>
            <w:br/>
            <w:t>(ред. от 28.02.2024)</w:t>
            <w:br/>
            <w:t>"Об утверждении порядка проведения диспансерного наблю...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15.03.2022 N 168н</w:t>
            <w:br/>
            <w:t>(ред. от 28.02.2024)</w:t>
            <w:br/>
            <w:t>"Об утверждении порядка проведения диспансерного наблю...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72700&amp;dst=100006" TargetMode = "External"/>
	<Relationship Id="rId8" Type="http://schemas.openxmlformats.org/officeDocument/2006/relationships/hyperlink" Target="https://login.consultant.ru/link/?req=doc&amp;base=RZR&amp;n=481289&amp;dst=187" TargetMode = "External"/>
	<Relationship Id="rId9" Type="http://schemas.openxmlformats.org/officeDocument/2006/relationships/hyperlink" Target="https://login.consultant.ru/link/?req=doc&amp;base=RZR&amp;n=323527" TargetMode = "External"/>
	<Relationship Id="rId10" Type="http://schemas.openxmlformats.org/officeDocument/2006/relationships/hyperlink" Target="https://login.consultant.ru/link/?req=doc&amp;base=RZR&amp;n=472700&amp;dst=100006" TargetMode = "External"/>
	<Relationship Id="rId11" Type="http://schemas.openxmlformats.org/officeDocument/2006/relationships/hyperlink" Target="https://login.consultant.ru/link/?req=doc&amp;base=RZR&amp;n=481289&amp;dst=186" TargetMode = "External"/>
	<Relationship Id="rId12" Type="http://schemas.openxmlformats.org/officeDocument/2006/relationships/hyperlink" Target="https://login.consultant.ru/link/?req=doc&amp;base=RZR&amp;n=483648&amp;dst=100029" TargetMode = "External"/>
	<Relationship Id="rId13" Type="http://schemas.openxmlformats.org/officeDocument/2006/relationships/hyperlink" Target="https://login.consultant.ru/link/?req=doc&amp;base=RZR&amp;n=287498&amp;dst=100009" TargetMode = "External"/>
	<Relationship Id="rId14" Type="http://schemas.openxmlformats.org/officeDocument/2006/relationships/hyperlink" Target="https://login.consultant.ru/link/?req=doc&amp;base=RZR&amp;n=472700&amp;dst=100011" TargetMode = "External"/>
	<Relationship Id="rId15" Type="http://schemas.openxmlformats.org/officeDocument/2006/relationships/hyperlink" Target="https://login.consultant.ru/link/?req=doc&amp;base=RZR&amp;n=472700&amp;dst=100013" TargetMode = "External"/>
	<Relationship Id="rId16" Type="http://schemas.openxmlformats.org/officeDocument/2006/relationships/hyperlink" Target="https://login.consultant.ru/link/?req=doc&amp;base=RZR&amp;n=287515&amp;dst=100009" TargetMode = "External"/>
	<Relationship Id="rId17" Type="http://schemas.openxmlformats.org/officeDocument/2006/relationships/hyperlink" Target="https://login.consultant.ru/link/?req=doc&amp;base=RZR&amp;n=287515" TargetMode = "External"/>
	<Relationship Id="rId18" Type="http://schemas.openxmlformats.org/officeDocument/2006/relationships/hyperlink" Target="https://login.consultant.ru/link/?req=doc&amp;base=RZR&amp;n=476883&amp;dst=100458" TargetMode = "External"/>
	<Relationship Id="rId19" Type="http://schemas.openxmlformats.org/officeDocument/2006/relationships/hyperlink" Target="https://login.consultant.ru/link/?req=doc&amp;base=RZR&amp;n=476883" TargetMode = "External"/>
	<Relationship Id="rId20" Type="http://schemas.openxmlformats.org/officeDocument/2006/relationships/hyperlink" Target="https://login.consultant.ru/link/?req=doc&amp;base=RZR&amp;n=472700&amp;dst=100015" TargetMode = "External"/>
	<Relationship Id="rId21" Type="http://schemas.openxmlformats.org/officeDocument/2006/relationships/hyperlink" Target="https://login.consultant.ru/link/?req=doc&amp;base=RZR&amp;n=481289&amp;dst=467" TargetMode = "External"/>
	<Relationship Id="rId22" Type="http://schemas.openxmlformats.org/officeDocument/2006/relationships/hyperlink" Target="https://login.consultant.ru/link/?req=doc&amp;base=RZR&amp;n=472700&amp;dst=100019" TargetMode = "External"/>
	<Relationship Id="rId23" Type="http://schemas.openxmlformats.org/officeDocument/2006/relationships/hyperlink" Target="https://login.consultant.ru/link/?req=doc&amp;base=RZR&amp;n=481289&amp;dst=249" TargetMode = "External"/>
	<Relationship Id="rId24" Type="http://schemas.openxmlformats.org/officeDocument/2006/relationships/hyperlink" Target="https://login.consultant.ru/link/?req=doc&amp;base=RZR&amp;n=472700&amp;dst=100017" TargetMode = "External"/>
	<Relationship Id="rId25" Type="http://schemas.openxmlformats.org/officeDocument/2006/relationships/hyperlink" Target="https://login.consultant.ru/link/?req=doc&amp;base=RZR&amp;n=504582" TargetMode = "External"/>
	<Relationship Id="rId26" Type="http://schemas.openxmlformats.org/officeDocument/2006/relationships/hyperlink" Target="https://login.consultant.ru/link/?req=doc&amp;base=RZR&amp;n=472700&amp;dst=100021" TargetMode = "External"/>
	<Relationship Id="rId27" Type="http://schemas.openxmlformats.org/officeDocument/2006/relationships/hyperlink" Target="https://login.consultant.ru/link/?req=doc&amp;base=RZR&amp;n=502786&amp;dst=100173" TargetMode = "External"/>
	<Relationship Id="rId28" Type="http://schemas.openxmlformats.org/officeDocument/2006/relationships/hyperlink" Target="https://login.consultant.ru/link/?req=doc&amp;base=RZR&amp;n=472700&amp;dst=100022" TargetMode = "External"/>
	<Relationship Id="rId29" Type="http://schemas.openxmlformats.org/officeDocument/2006/relationships/hyperlink" Target="https://login.consultant.ru/link/?req=doc&amp;base=RZR&amp;n=472700&amp;dst=100018" TargetMode = "External"/>
	<Relationship Id="rId30" Type="http://schemas.openxmlformats.org/officeDocument/2006/relationships/header" Target="header2.xml"/>
	<Relationship Id="rId31" Type="http://schemas.openxmlformats.org/officeDocument/2006/relationships/footer" Target="footer2.xml"/>
	<Relationship Id="rId32" Type="http://schemas.openxmlformats.org/officeDocument/2006/relationships/hyperlink" Target="https://login.consultant.ru/link/?req=doc&amp;base=EXPZ&amp;n=763941" TargetMode = "External"/>
	<Relationship Id="rId33" Type="http://schemas.openxmlformats.org/officeDocument/2006/relationships/image" Target="media/image2.wmf"/>
	<Relationship Id="rId34" Type="http://schemas.openxmlformats.org/officeDocument/2006/relationships/hyperlink" Target="https://login.consultant.ru/link/?req=doc&amp;base=EXPZ&amp;n=763941" TargetMode = "External"/>
	<Relationship Id="rId35" Type="http://schemas.openxmlformats.org/officeDocument/2006/relationships/hyperlink" Target="https://login.consultant.ru/link/?req=doc&amp;base=EXPZ&amp;n=763941" TargetMode = "External"/>
	<Relationship Id="rId36" Type="http://schemas.openxmlformats.org/officeDocument/2006/relationships/image" Target="media/image3.wmf"/>
	<Relationship Id="rId37" Type="http://schemas.openxmlformats.org/officeDocument/2006/relationships/hyperlink" Target="https://login.consultant.ru/link/?req=doc&amp;base=EXPZ&amp;n=763941" TargetMode = "External"/>
	<Relationship Id="rId38" Type="http://schemas.openxmlformats.org/officeDocument/2006/relationships/hyperlink" Target="https://login.consultant.ru/link/?req=doc&amp;base=EXPZ&amp;n=763941" TargetMode = "External"/>
	<Relationship Id="rId39" Type="http://schemas.openxmlformats.org/officeDocument/2006/relationships/image" Target="media/image4.wmf"/>
	<Relationship Id="rId40" Type="http://schemas.openxmlformats.org/officeDocument/2006/relationships/hyperlink" Target="https://login.consultant.ru/link/?req=doc&amp;base=EXPZ&amp;n=76394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15.03.2022 N 168н
(ред. от 28.02.2024)
"Об утверждении порядка проведения диспансерного наблюдения за взрослыми"
(Зарегистрировано в Минюсте России 21.04.2022 N 68288)</dc:title>
  <dcterms:created xsi:type="dcterms:W3CDTF">2025-05-13T06:59:30Z</dcterms:created>
</cp:coreProperties>
</file>